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283825" w:rsidP="3D4AA4DB" w:rsidRDefault="00283825" w14:paraId="4E6D301D" w14:textId="4745DB1A">
      <w:pPr>
        <w:pStyle w:val="Header"/>
        <w:tabs>
          <w:tab w:val="right" w:pos="9639"/>
        </w:tabs>
        <w:rPr>
          <w:i/>
          <w:iCs/>
          <w:noProof w:val="0"/>
          <w:sz w:val="24"/>
          <w:szCs w:val="24"/>
        </w:rPr>
      </w:pPr>
      <w:r w:rsidRPr="3D4AA4DB">
        <w:rPr>
          <w:noProof w:val="0"/>
          <w:sz w:val="24"/>
          <w:szCs w:val="24"/>
        </w:rPr>
        <w:t>3GPP TSG-RAN WG2 Meeting #119bis Electronic</w:t>
      </w:r>
      <w:r>
        <w:tab/>
      </w:r>
      <w:r w:rsidRPr="3D4AA4DB">
        <w:rPr>
          <w:noProof w:val="0"/>
          <w:sz w:val="24"/>
          <w:szCs w:val="24"/>
        </w:rPr>
        <w:t>R2-22</w:t>
      </w:r>
      <w:r w:rsidRPr="3D4AA4DB" w:rsidR="553AF840">
        <w:rPr>
          <w:noProof w:val="0"/>
          <w:sz w:val="24"/>
          <w:szCs w:val="24"/>
        </w:rPr>
        <w:t>10273</w:t>
      </w:r>
    </w:p>
    <w:p w:rsidRPr="00465587" w:rsidR="00283825" w:rsidP="00283825" w:rsidRDefault="00283825" w14:paraId="4DDBB69B" w14:textId="77777777">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r>
        <w:rPr>
          <w:rFonts w:eastAsia="SimSun"/>
          <w:noProof w:val="0"/>
          <w:sz w:val="24"/>
          <w:szCs w:val="24"/>
          <w:lang w:eastAsia="zh-CN"/>
        </w:rPr>
        <w:tab/>
      </w:r>
    </w:p>
    <w:p w:rsidRPr="00B266B0" w:rsidR="00283825" w:rsidP="00283825" w:rsidRDefault="00283825" w14:paraId="00F92BA2" w14:textId="77777777">
      <w:pPr>
        <w:pStyle w:val="Header"/>
        <w:rPr>
          <w:bCs/>
          <w:noProof w:val="0"/>
          <w:sz w:val="24"/>
        </w:rPr>
      </w:pPr>
    </w:p>
    <w:p w:rsidRPr="00B266B0" w:rsidR="00283825" w:rsidP="00283825" w:rsidRDefault="00283825" w14:paraId="720B98BA" w14:textId="77777777">
      <w:pPr>
        <w:pStyle w:val="Header"/>
        <w:rPr>
          <w:bCs/>
          <w:noProof w:val="0"/>
          <w:sz w:val="24"/>
        </w:rPr>
      </w:pPr>
    </w:p>
    <w:p w:rsidRPr="00B266B0" w:rsidR="00283825" w:rsidP="00283825" w:rsidRDefault="00283825" w14:paraId="41EEFE39" w14:textId="7777777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8.12.2</w:t>
      </w:r>
    </w:p>
    <w:p w:rsidRPr="00B266B0" w:rsidR="00283825" w:rsidP="00283825" w:rsidRDefault="00283825" w14:paraId="089BB03F"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446C3A" w:rsidP="00446C3A" w:rsidRDefault="00446C3A" w14:paraId="553D264F" w14:textId="70C63A0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6CA0">
        <w:rPr>
          <w:rFonts w:ascii="Arial" w:hAnsi="Arial" w:cs="Arial"/>
          <w:b/>
          <w:bCs/>
          <w:sz w:val="24"/>
        </w:rPr>
        <w:t>I</w:t>
      </w:r>
      <w:r w:rsidRPr="0056052E" w:rsidR="0056052E">
        <w:rPr>
          <w:rFonts w:ascii="Arial" w:hAnsi="Arial" w:cs="Arial"/>
          <w:b/>
          <w:bCs/>
          <w:sz w:val="24"/>
        </w:rPr>
        <w:t>nterference mitigation</w:t>
      </w:r>
    </w:p>
    <w:p w:rsidRPr="00B266B0" w:rsidR="00446C3A" w:rsidP="00446C3A" w:rsidRDefault="00446C3A" w14:paraId="25F387E8" w14:textId="5A35C2E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43D3C" w:rsidR="00243D3C">
        <w:rPr>
          <w:rFonts w:ascii="Arial" w:hAnsi="Arial" w:cs="Arial"/>
          <w:b/>
          <w:bCs/>
          <w:sz w:val="24"/>
        </w:rPr>
        <w:t>NR_mobile_IA</w:t>
      </w:r>
      <w:r w:rsidR="00243D3C">
        <w:rPr>
          <w:rFonts w:ascii="Arial" w:hAnsi="Arial" w:cs="Arial"/>
          <w:b/>
          <w:bCs/>
          <w:sz w:val="24"/>
        </w:rPr>
        <w:t>B</w:t>
      </w:r>
      <w:r w:rsidRPr="00112F1A">
        <w:rPr>
          <w:rFonts w:ascii="Arial" w:hAnsi="Arial" w:cs="Arial"/>
          <w:b/>
          <w:bCs/>
          <w:sz w:val="24"/>
        </w:rPr>
        <w:t xml:space="preserve"> </w:t>
      </w:r>
      <w:r>
        <w:rPr>
          <w:rFonts w:ascii="Arial" w:hAnsi="Arial" w:cs="Arial"/>
          <w:b/>
          <w:bCs/>
          <w:sz w:val="24"/>
        </w:rPr>
        <w:t xml:space="preserve">- Release </w:t>
      </w:r>
      <w:r w:rsidR="00243D3C">
        <w:rPr>
          <w:rFonts w:ascii="Arial" w:hAnsi="Arial" w:cs="Arial"/>
          <w:b/>
          <w:bCs/>
          <w:sz w:val="24"/>
        </w:rPr>
        <w:t>18</w:t>
      </w:r>
    </w:p>
    <w:p w:rsidRPr="00B266B0" w:rsidR="00446C3A" w:rsidP="00446C3A" w:rsidRDefault="00446C3A"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DC6CA0" w:rsidP="00DC6CA0" w:rsidRDefault="00DC6CA0" w14:paraId="6D8C35EE" w14:textId="698CC610">
      <w:r>
        <w:t xml:space="preserve">The agreed Rel-18 WI on Mobile IAB for NR in </w:t>
      </w:r>
      <w:hyperlink w:history="1" r:id="rId12">
        <w:r w:rsidRPr="00B2050F">
          <w:rPr>
            <w:rStyle w:val="Hyperlink"/>
          </w:rPr>
          <w:t>RP-22</w:t>
        </w:r>
        <w:r>
          <w:rPr>
            <w:rStyle w:val="Hyperlink"/>
          </w:rPr>
          <w:t>1815</w:t>
        </w:r>
      </w:hyperlink>
      <w:r>
        <w:t xml:space="preserve"> defined an objective to mitigate interferences and potential collisions due to mobile IAB support, as follows:</w:t>
      </w:r>
    </w:p>
    <w:p w:rsidRPr="00EE07F1" w:rsidR="00DC6CA0" w:rsidP="00DC6CA0" w:rsidRDefault="00DC6CA0" w14:paraId="59056742" w14:textId="77777777">
      <w:pPr>
        <w:pStyle w:val="maintext"/>
        <w:numPr>
          <w:ilvl w:val="0"/>
          <w:numId w:val="8"/>
        </w:numPr>
        <w:spacing w:before="0" w:after="0" w:line="240" w:lineRule="auto"/>
        <w:ind w:left="1080" w:firstLineChars="0"/>
        <w:rPr>
          <w:rFonts w:ascii="Calibri" w:hAnsi="Calibri" w:eastAsia="Times New Roman" w:cs="Calibri"/>
          <w:i/>
          <w:iCs/>
          <w:lang w:eastAsia="en-US"/>
        </w:rPr>
      </w:pPr>
      <w:r w:rsidRPr="00EE07F1">
        <w:rPr>
          <w:rFonts w:ascii="Calibri" w:hAnsi="Calibri" w:eastAsia="Times New Roman" w:cs="Calibri"/>
          <w:i/>
          <w:iCs/>
          <w:lang w:eastAsia="en-US"/>
        </w:rPr>
        <w:t>Mitigation of interference due to IAB-node mobility, including the avoidance of potential reference and control signal collisions (e.g. PCI, RACH). [RAN3, RAN2]</w:t>
      </w:r>
    </w:p>
    <w:p w:rsidR="00DC6CA0" w:rsidP="009911A6" w:rsidRDefault="00DC6CA0" w14:paraId="1C685219" w14:textId="7019411A"/>
    <w:p w:rsidR="00DC6CA0" w:rsidP="009911A6" w:rsidRDefault="00DC6CA0" w14:paraId="13E36E92" w14:textId="474161C1">
      <w:r>
        <w:t>RAN2#119-e endorsed the following:</w:t>
      </w:r>
    </w:p>
    <w:p w:rsidRPr="00DC6CA0" w:rsidR="00DC6CA0" w:rsidP="00DC6CA0" w:rsidRDefault="00DC6CA0" w14:paraId="717982F4" w14:textId="77777777">
      <w:pPr>
        <w:pStyle w:val="maintext"/>
        <w:numPr>
          <w:ilvl w:val="0"/>
          <w:numId w:val="8"/>
        </w:numPr>
        <w:spacing w:before="0" w:after="0" w:line="240" w:lineRule="auto"/>
        <w:ind w:left="1080" w:firstLineChars="0"/>
        <w:rPr>
          <w:rFonts w:ascii="Calibri" w:hAnsi="Calibri" w:eastAsia="Times New Roman" w:cs="Calibri"/>
          <w:i/>
          <w:iCs/>
          <w:lang w:eastAsia="en-US"/>
        </w:rPr>
      </w:pPr>
      <w:r w:rsidRPr="00DC6CA0">
        <w:rPr>
          <w:rFonts w:ascii="Calibri" w:hAnsi="Calibri" w:eastAsia="Times New Roman" w:cs="Calibri"/>
          <w:i/>
          <w:iCs/>
          <w:lang w:eastAsia="en-US"/>
        </w:rPr>
        <w:t xml:space="preserve">P3: For “dual-DU-way” of doing full migration, RAN2 may discuss whether the legacy UE should see the two logical cells/DUs as separate or same physical cell(s), and what procedure(s) the legacy UE needs to perform in either case. </w:t>
      </w:r>
    </w:p>
    <w:p w:rsidRPr="00DC6CA0" w:rsidR="00DC6CA0" w:rsidP="00DC6CA0" w:rsidRDefault="00DC6CA0" w14:paraId="5DA1CDB0" w14:textId="77777777">
      <w:pPr>
        <w:pStyle w:val="maintext"/>
        <w:numPr>
          <w:ilvl w:val="0"/>
          <w:numId w:val="8"/>
        </w:numPr>
        <w:spacing w:before="0" w:after="0" w:line="240" w:lineRule="auto"/>
        <w:ind w:left="1080" w:firstLineChars="0"/>
        <w:rPr>
          <w:rFonts w:ascii="Calibri" w:hAnsi="Calibri" w:eastAsia="Times New Roman" w:cs="Calibri"/>
          <w:i/>
          <w:iCs/>
          <w:lang w:eastAsia="en-US"/>
        </w:rPr>
      </w:pPr>
      <w:r w:rsidRPr="00DC6CA0">
        <w:rPr>
          <w:rFonts w:ascii="Calibri" w:hAnsi="Calibri" w:eastAsia="Times New Roman" w:cs="Calibri"/>
          <w:i/>
          <w:iCs/>
          <w:lang w:eastAsia="en-US"/>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rsidR="00DC6CA0" w:rsidP="009911A6" w:rsidRDefault="00DC6CA0" w14:paraId="6F462800" w14:textId="796054BC"/>
    <w:p w:rsidR="00A118C3" w:rsidP="00A118C3" w:rsidRDefault="00A118C3" w14:paraId="60A8DCFC" w14:textId="77777777">
      <w:r>
        <w:t>RAN3#117-e agreed:</w:t>
      </w:r>
    </w:p>
    <w:p w:rsidR="00A118C3" w:rsidP="00A118C3" w:rsidRDefault="00A118C3" w14:paraId="49329B25" w14:textId="77777777">
      <w:pPr>
        <w:pStyle w:val="Normal4"/>
        <w:spacing w:after="60"/>
        <w:ind w:left="426"/>
        <w:rPr>
          <w:b/>
          <w:bCs/>
          <w:color w:val="800000"/>
          <w:sz w:val="22"/>
          <w:szCs w:val="22"/>
          <w:lang w:val="en-US" w:eastAsia="en-US"/>
        </w:rPr>
      </w:pPr>
      <w:r>
        <w:rPr>
          <w:b/>
          <w:bCs/>
          <w:color w:val="800000"/>
          <w:sz w:val="22"/>
          <w:szCs w:val="22"/>
          <w:lang w:val="en-US" w:eastAsia="en-US"/>
        </w:rPr>
        <w:t>13.4. Mitigation of interference</w:t>
      </w:r>
    </w:p>
    <w:p w:rsidR="00A118C3" w:rsidP="00A118C3" w:rsidRDefault="00A118C3" w14:paraId="3576ADFD" w14:textId="77777777">
      <w:pPr>
        <w:spacing w:after="40"/>
        <w:ind w:left="568" w:hanging="142"/>
        <w:rPr>
          <w:color w:val="008000"/>
          <w:sz w:val="22"/>
          <w:szCs w:val="22"/>
          <w:lang w:val="en-US"/>
        </w:rPr>
      </w:pPr>
      <w:r>
        <w:rPr>
          <w:color w:val="008000"/>
          <w:lang w:val="en-US"/>
        </w:rPr>
        <w:t>PCI space partitioning via OAM configuration can be used in some cases for avoidance of PCI collisions.</w:t>
      </w:r>
    </w:p>
    <w:p w:rsidR="00A118C3" w:rsidP="00A118C3" w:rsidRDefault="00A118C3" w14:paraId="24FD8AB2" w14:textId="77777777">
      <w:pPr>
        <w:spacing w:after="40"/>
        <w:ind w:left="426" w:hanging="1"/>
        <w:rPr>
          <w:color w:val="008000"/>
          <w:lang w:val="en-US"/>
        </w:rPr>
      </w:pPr>
      <w:r>
        <w:rPr>
          <w:color w:val="008000"/>
          <w:lang w:val="en-US"/>
        </w:rPr>
        <w:t xml:space="preserve">From RAN3 perspective, existing mechanism can be used for PCI collision detection in mobile IAB scenario. Further enhancement is FFS. </w:t>
      </w:r>
    </w:p>
    <w:p w:rsidR="00A118C3" w:rsidP="00A118C3" w:rsidRDefault="00A118C3" w14:paraId="2DBE8297" w14:textId="77777777">
      <w:pPr>
        <w:spacing w:after="40"/>
        <w:ind w:left="426" w:hanging="1"/>
        <w:rPr>
          <w:color w:val="008000"/>
          <w:lang w:val="en-US"/>
        </w:rPr>
      </w:pPr>
      <w:r>
        <w:rPr>
          <w:color w:val="008000"/>
          <w:lang w:val="en-US"/>
        </w:rPr>
        <w:t>RAN3 to discuss whether mobile IAB needs any enhancements to the existing mechanisms for PCI collision avoidance and/or optimization.</w:t>
      </w:r>
    </w:p>
    <w:p w:rsidR="00A118C3" w:rsidP="00A118C3" w:rsidRDefault="00A118C3" w14:paraId="00A4AFFA" w14:textId="77777777">
      <w:pPr>
        <w:ind w:left="426"/>
        <w:rPr>
          <w:color w:val="0000FF"/>
          <w:lang w:val="en-US"/>
        </w:rPr>
      </w:pPr>
      <w:r>
        <w:rPr>
          <w:color w:val="008000"/>
          <w:lang w:val="en-US"/>
        </w:rPr>
        <w:t>From RAN3 perspective, no enhancements are needed for RACH collision avoidance unless requested by other WGs.</w:t>
      </w:r>
    </w:p>
    <w:p w:rsidR="00334C3A" w:rsidP="009911A6" w:rsidRDefault="00334C3A" w14:paraId="204D45BE" w14:textId="0EFE4F56">
      <w:r>
        <w:t xml:space="preserve">In this document we discuss </w:t>
      </w:r>
      <w:r w:rsidR="00283825">
        <w:t>potential issues with PCI and RACH management from RAN2 perspective.</w:t>
      </w:r>
    </w:p>
    <w:p w:rsidR="00334C3A" w:rsidP="00334C3A" w:rsidRDefault="009911A6" w14:paraId="4F793B53" w14:textId="7434433A">
      <w:pPr>
        <w:pStyle w:val="Heading1"/>
      </w:pPr>
      <w:r>
        <w:t>2</w:t>
      </w:r>
      <w:r>
        <w:tab/>
      </w:r>
      <w:r w:rsidR="00334C3A">
        <w:t>Discussion</w:t>
      </w:r>
    </w:p>
    <w:p w:rsidR="00405D21" w:rsidP="00405D21" w:rsidRDefault="00405D21" w14:paraId="24F51688" w14:textId="01EB8399">
      <w:pPr>
        <w:pStyle w:val="Heading2"/>
      </w:pPr>
      <w:r>
        <w:t xml:space="preserve">2.1 PCI </w:t>
      </w:r>
      <w:r w:rsidR="00283825">
        <w:t>collision avoidance/detection</w:t>
      </w:r>
    </w:p>
    <w:p w:rsidR="00A118C3" w:rsidP="00A118C3" w:rsidRDefault="00A118C3" w14:paraId="7F103856" w14:textId="77777777">
      <w:r>
        <w:t>As discussed in the previous RAN2 and RAN3 meetings, the starting point shall be the existing means for collision detection and avoidance. PCI space partitioning is a clear option to eliminate large part of potential collisions. The remaining collisions could happen between mobile IAB-nodes. The collision probability is highest when the size of the PCI space assigned to mobile IAB-nodes is smallest.</w:t>
      </w:r>
    </w:p>
    <w:p w:rsidR="00A118C3" w:rsidP="00A118C3" w:rsidRDefault="00A118C3" w14:paraId="2C4E2DF5" w14:textId="77777777">
      <w:r>
        <w:t xml:space="preserve">The serving RAN is able to track the location of the mobile IAB-nodes and assigned PCIs in the resolution of cells/serving nodes IAB-MT is connected to. With such information, the serving RAN would have information to </w:t>
      </w:r>
      <w:r>
        <w:lastRenderedPageBreak/>
        <w:t>predict PCI collisions or probability of those. How this would be done and whether any enhancements are needed is up to RAN3 discuss and agree.</w:t>
      </w:r>
    </w:p>
    <w:p w:rsidRPr="001C2A8E" w:rsidR="00A118C3" w:rsidP="00A118C3" w:rsidRDefault="00A118C3" w14:paraId="4E45ED70" w14:textId="77777777">
      <w:pPr>
        <w:rPr>
          <w:b/>
          <w:bCs/>
        </w:rPr>
      </w:pPr>
      <w:r w:rsidRPr="001C2A8E">
        <w:rPr>
          <w:b/>
          <w:bCs/>
        </w:rPr>
        <w:t xml:space="preserve">Observation 1. There are RAN level means to predict and detect </w:t>
      </w:r>
      <w:r>
        <w:rPr>
          <w:b/>
          <w:bCs/>
        </w:rPr>
        <w:t xml:space="preserve">(probability of) </w:t>
      </w:r>
      <w:r w:rsidRPr="001C2A8E">
        <w:rPr>
          <w:b/>
          <w:bCs/>
        </w:rPr>
        <w:t>PCI collisions which are for RAN3 to discuss and agree.</w:t>
      </w:r>
    </w:p>
    <w:p w:rsidR="00A118C3" w:rsidP="00A118C3" w:rsidRDefault="00A118C3" w14:paraId="6BB2CEEE" w14:textId="77777777">
      <w:r>
        <w:t>Within RAN2 scope, detection/avoidance of PCI collisions (or confusion) can be based on radio measurements. Normally UEs can report detected cells and their PCIs which can be used in the network to detect collisions. For mobility, mobile IAB-MT must be configured with RRM measurements and reporting. It will therefore be able to report detected cells to the donor which can then be used for collision avoidance or detection.</w:t>
      </w:r>
    </w:p>
    <w:p w:rsidRPr="001437DC" w:rsidR="00A118C3" w:rsidP="00A118C3" w:rsidRDefault="00A118C3" w14:paraId="45B97A38" w14:textId="77777777">
      <w:pPr>
        <w:rPr>
          <w:b/>
          <w:bCs/>
        </w:rPr>
      </w:pPr>
      <w:r w:rsidRPr="001437DC">
        <w:rPr>
          <w:b/>
          <w:bCs/>
        </w:rPr>
        <w:t>Observation 2. IAB-MT reporting can be used for PCI collision avoidance/detection.</w:t>
      </w:r>
    </w:p>
    <w:p w:rsidR="00A118C3" w:rsidP="00A118C3" w:rsidRDefault="00A118C3" w14:paraId="779296A0" w14:textId="77777777">
      <w:r>
        <w:t>Measurement reporting may not be the most reliable way of avoiding collisions as the (moving) cells may be detected first when they are close and could already have overlapping coverage areas with cell(s) having the same PCI(s). For this reason, the more efficient ways can be RAN based and therefore within RAN3 scope. RAN2 could wait for RAN3 conclusions whether PCI collision detection/avoidance would need further investigations if unsolved problems existed. For now, RAN2 does not need to put specific efforts for this issue.</w:t>
      </w:r>
    </w:p>
    <w:p w:rsidRPr="009B6A64" w:rsidR="00A118C3" w:rsidP="00A118C3" w:rsidRDefault="00A118C3" w14:paraId="4DA961A0" w14:textId="77777777">
      <w:pPr>
        <w:rPr>
          <w:b/>
          <w:bCs/>
        </w:rPr>
      </w:pPr>
      <w:r w:rsidRPr="009B6A64">
        <w:rPr>
          <w:b/>
          <w:bCs/>
        </w:rPr>
        <w:t>Proposal 1. RAN2 to wait RAN3 conclusions for PCI collision detection/avoidance.</w:t>
      </w:r>
    </w:p>
    <w:p w:rsidR="00A118C3" w:rsidP="00A118C3" w:rsidRDefault="00A118C3" w14:paraId="7613075F" w14:textId="5B7947E5">
      <w:r>
        <w:t>The procedures required for PCI change are also within RAN3 scope. The change could be done e.g.</w:t>
      </w:r>
      <w:r w:rsidR="003D33BB">
        <w:t>,</w:t>
      </w:r>
      <w:r>
        <w:t xml:space="preserve"> by utilizing the dual-DU approach and procedure (to be) specified for full migration with </w:t>
      </w:r>
      <w:r w:rsidR="003D33BB">
        <w:t>t</w:t>
      </w:r>
      <w:r>
        <w:t xml:space="preserve">he exception that the IAB-node would have the two F1 connections to the same donor. RAN3 shall then indicate if any implications to RAN2 specifications. </w:t>
      </w:r>
    </w:p>
    <w:p w:rsidRPr="00D45268" w:rsidR="00A118C3" w:rsidP="00A118C3" w:rsidRDefault="00A118C3" w14:paraId="530EB5F5" w14:textId="77777777">
      <w:pPr>
        <w:rPr>
          <w:b/>
          <w:bCs/>
        </w:rPr>
      </w:pPr>
      <w:r w:rsidRPr="00D45268">
        <w:rPr>
          <w:b/>
          <w:bCs/>
        </w:rPr>
        <w:t>Proposal 2. Dynamic change of PCI to be discussed first in RAN3.</w:t>
      </w:r>
    </w:p>
    <w:p w:rsidR="00C841D6" w:rsidP="00C841D6" w:rsidRDefault="00C841D6" w14:paraId="15001F64" w14:textId="5A79768D">
      <w:pPr>
        <w:pStyle w:val="Heading2"/>
      </w:pPr>
      <w:r>
        <w:t>2.2 RACH collision avoidance/detection</w:t>
      </w:r>
    </w:p>
    <w:p w:rsidR="00A118C3" w:rsidP="00A118C3" w:rsidRDefault="00A118C3" w14:paraId="6FA4580F" w14:textId="77777777">
      <w:r>
        <w:t>Similarly to the PCI collisions detection/avoidance, there are already existing means to avoid RACH collisions. Collisions could happen between RACH occasions of different RAN nodes where the node can be also mobile in a Rel.18 scenario. If collisions are detected, network has always the knowledge of cell configurations in each node as well as possibility to re-configure the RACH parameters. If needed, the change of RACH parameters can be done and the and the impact to UEs would be marginal.</w:t>
      </w:r>
    </w:p>
    <w:p w:rsidRPr="003C4440" w:rsidR="00A118C3" w:rsidP="00A118C3" w:rsidRDefault="00A118C3" w14:paraId="0ED32A78" w14:textId="77777777">
      <w:pPr>
        <w:rPr>
          <w:b/>
          <w:bCs/>
        </w:rPr>
      </w:pPr>
      <w:r w:rsidRPr="003C4440">
        <w:rPr>
          <w:b/>
          <w:bCs/>
        </w:rPr>
        <w:t>Observation 3. Existing specifications provide means to detect RACH collisions and change the configurations if needed.</w:t>
      </w:r>
    </w:p>
    <w:p w:rsidR="00A118C3" w:rsidP="00A118C3" w:rsidRDefault="39A8744E" w14:paraId="5610EA2D" w14:textId="4ACB384A">
      <w:r>
        <w:t xml:space="preserve">We do not </w:t>
      </w:r>
      <w:r w:rsidR="00A118C3">
        <w:t xml:space="preserve">see </w:t>
      </w:r>
      <w:r w:rsidR="4F84AC71">
        <w:t xml:space="preserve">any problems </w:t>
      </w:r>
      <w:r w:rsidR="00A118C3">
        <w:t xml:space="preserve">with RACH </w:t>
      </w:r>
      <w:r w:rsidR="28C8B322">
        <w:t xml:space="preserve">collision avoidance and </w:t>
      </w:r>
      <w:r w:rsidR="00A118C3">
        <w:t>cop</w:t>
      </w:r>
      <w:r w:rsidR="36F5EFD8">
        <w:t>ing</w:t>
      </w:r>
      <w:r w:rsidR="00A118C3">
        <w:t xml:space="preserve"> with </w:t>
      </w:r>
      <w:r w:rsidR="0637B57F">
        <w:t xml:space="preserve">remaining </w:t>
      </w:r>
      <w:r w:rsidR="00A118C3">
        <w:t>potential collisions</w:t>
      </w:r>
      <w:r w:rsidR="53B20EFC">
        <w:t xml:space="preserve"> using means of existing specifications</w:t>
      </w:r>
      <w:r w:rsidR="00A118C3">
        <w:t xml:space="preserve">. </w:t>
      </w:r>
    </w:p>
    <w:p w:rsidRPr="00DD703E" w:rsidR="00405D21" w:rsidP="008F33A2" w:rsidRDefault="00A118C3" w14:paraId="6B4DC826" w14:textId="0633E0DF">
      <w:pPr>
        <w:rPr>
          <w:b/>
          <w:bCs/>
        </w:rPr>
      </w:pPr>
      <w:r w:rsidRPr="005C3F61">
        <w:rPr>
          <w:b/>
          <w:bCs/>
        </w:rPr>
        <w:t xml:space="preserve">Proposal 3. </w:t>
      </w:r>
      <w:r w:rsidRPr="6C482246" w:rsidR="29E7B594">
        <w:rPr>
          <w:b/>
          <w:bCs/>
        </w:rPr>
        <w:t>RACH enhancements to be de-prioritized as c</w:t>
      </w:r>
      <w:r w:rsidRPr="6C482246" w:rsidR="4186B014">
        <w:rPr>
          <w:b/>
          <w:bCs/>
        </w:rPr>
        <w:t xml:space="preserve">urrent specifications </w:t>
      </w:r>
      <w:r w:rsidRPr="005C3F61">
        <w:rPr>
          <w:b/>
          <w:bCs/>
        </w:rPr>
        <w:t xml:space="preserve">provide means </w:t>
      </w:r>
      <w:r w:rsidRPr="6C482246" w:rsidR="060DF988">
        <w:rPr>
          <w:b/>
          <w:bCs/>
        </w:rPr>
        <w:t>for RACH collision avoidance</w:t>
      </w:r>
      <w:r w:rsidRPr="6C482246" w:rsidR="1E22ED10">
        <w:rPr>
          <w:b/>
          <w:bCs/>
        </w:rPr>
        <w:t>/detection</w:t>
      </w:r>
      <w:r>
        <w:rPr>
          <w:b/>
          <w:bCs/>
        </w:rPr>
        <w:t>.</w:t>
      </w:r>
    </w:p>
    <w:p w:rsidR="009339CB" w:rsidP="009911A6" w:rsidRDefault="005A13AB" w14:paraId="69B7B8E6" w14:textId="40EC7518">
      <w:pPr>
        <w:pStyle w:val="Heading1"/>
      </w:pPr>
      <w:r>
        <w:t>3</w:t>
      </w:r>
      <w:r w:rsidRPr="006E13D1" w:rsidR="009339CB">
        <w:tab/>
      </w:r>
      <w:r w:rsidR="009339CB">
        <w:t>Conclusion</w:t>
      </w:r>
    </w:p>
    <w:p w:rsidRPr="003D33BB" w:rsidR="003D33BB" w:rsidP="003D33BB" w:rsidRDefault="003D33BB" w14:paraId="4A54F3B5" w14:textId="7CA6DED8">
      <w:pPr>
        <w:rPr>
          <w:rFonts w:eastAsia="Arial"/>
        </w:rPr>
      </w:pPr>
      <w:r>
        <w:rPr>
          <w:rFonts w:eastAsia="Arial"/>
        </w:rPr>
        <w:t>In this document we have made the following proposals:</w:t>
      </w:r>
    </w:p>
    <w:p w:rsidRPr="009B6A64" w:rsidR="003D33BB" w:rsidP="003D33BB" w:rsidRDefault="003D33BB" w14:paraId="40995D14" w14:textId="77777777">
      <w:pPr>
        <w:rPr>
          <w:b/>
          <w:bCs/>
        </w:rPr>
      </w:pPr>
      <w:r w:rsidRPr="009B6A64">
        <w:rPr>
          <w:b/>
          <w:bCs/>
        </w:rPr>
        <w:t>Proposal 1. RAN2 to wait RAN3 conclusions for PCI collision detection/avoidance.</w:t>
      </w:r>
    </w:p>
    <w:p w:rsidRPr="00D45268" w:rsidR="003D33BB" w:rsidP="003D33BB" w:rsidRDefault="003D33BB" w14:paraId="1C8F34D7" w14:textId="77777777">
      <w:pPr>
        <w:rPr>
          <w:b/>
          <w:bCs/>
        </w:rPr>
      </w:pPr>
      <w:r w:rsidRPr="00D45268">
        <w:rPr>
          <w:b/>
          <w:bCs/>
        </w:rPr>
        <w:t>Proposal 2. Dynamic change of PCI to be discussed first in RAN3.</w:t>
      </w:r>
    </w:p>
    <w:p w:rsidRPr="00CD4C7B" w:rsidR="009339CB" w:rsidP="009339CB" w:rsidRDefault="003D33BB" w14:paraId="259EEE34" w14:textId="539B9573">
      <w:r w:rsidRPr="005C3F61">
        <w:rPr>
          <w:b/>
          <w:bCs/>
        </w:rPr>
        <w:t xml:space="preserve">Proposal 3. </w:t>
      </w:r>
      <w:r w:rsidRPr="6C482246" w:rsidR="7792FB66">
        <w:rPr>
          <w:b/>
          <w:bCs/>
        </w:rPr>
        <w:t xml:space="preserve"> RACH enhancements to be de-prioritized as current specifications provide means for RACH collision avoidance/detection</w:t>
      </w:r>
      <w:r w:rsidRPr="6C482246">
        <w:rPr>
          <w:b/>
          <w:bCs/>
        </w:rPr>
        <w:t>.</w:t>
      </w:r>
    </w:p>
    <w:p w:rsidRPr="00A209D6" w:rsidR="00080512" w:rsidP="009339CB" w:rsidRDefault="00080512" w14:paraId="35F222F4" w14:textId="77777777"/>
    <w:sectPr w:rsidRPr="00A209D6" w:rsidR="000805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2CDE" w:rsidRDefault="00AF2CDE" w14:paraId="30086389" w14:textId="77777777">
      <w:r>
        <w:separator/>
      </w:r>
    </w:p>
  </w:endnote>
  <w:endnote w:type="continuationSeparator" w:id="0">
    <w:p w:rsidR="00AF2CDE" w:rsidRDefault="00AF2CDE" w14:paraId="2C7A2B53" w14:textId="77777777">
      <w:r>
        <w:continuationSeparator/>
      </w:r>
    </w:p>
  </w:endnote>
  <w:endnote w:type="continuationNotice" w:id="1">
    <w:p w:rsidR="00AF2CDE" w:rsidRDefault="00AF2CDE" w14:paraId="6353F2F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KaiTi_GB2312">
    <w:altName w:val="Microsoft YaHei"/>
    <w:charset w:val="86"/>
    <w:family w:val="modern"/>
    <w:pitch w:val="fixed"/>
    <w:sig w:usb0="800002BF" w:usb1="38CF7CFA"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2CDE" w:rsidRDefault="00AF2CDE" w14:paraId="71EE038B" w14:textId="77777777">
      <w:r>
        <w:separator/>
      </w:r>
    </w:p>
  </w:footnote>
  <w:footnote w:type="continuationSeparator" w:id="0">
    <w:p w:rsidR="00AF2CDE" w:rsidRDefault="00AF2CDE" w14:paraId="656E3EDC" w14:textId="77777777">
      <w:r>
        <w:continuationSeparator/>
      </w:r>
    </w:p>
  </w:footnote>
  <w:footnote w:type="continuationNotice" w:id="1">
    <w:p w:rsidR="00AF2CDE" w:rsidRDefault="00AF2CDE" w14:paraId="11AAFFB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7915B7"/>
    <w:multiLevelType w:val="hybridMultilevel"/>
    <w:tmpl w:val="939EA680"/>
    <w:lvl w:ilvl="0" w:tplc="FFFFFFFF">
      <w:start w:val="2"/>
      <w:numFmt w:val="bullet"/>
      <w:lvlText w:val=""/>
      <w:lvlJc w:val="left"/>
      <w:pPr>
        <w:ind w:left="465" w:hanging="360"/>
      </w:pPr>
      <w:rPr>
        <w:rFonts w:hint="default" w:ascii="Symbol" w:hAnsi="Symbol"/>
      </w:rPr>
    </w:lvl>
    <w:lvl w:ilvl="1" w:tplc="04090003" w:tentative="1">
      <w:start w:val="1"/>
      <w:numFmt w:val="bullet"/>
      <w:lvlText w:val="o"/>
      <w:lvlJc w:val="left"/>
      <w:pPr>
        <w:ind w:left="1185" w:hanging="360"/>
      </w:pPr>
      <w:rPr>
        <w:rFonts w:hint="default" w:ascii="Courier New" w:hAnsi="Courier New" w:cs="Courier New"/>
      </w:rPr>
    </w:lvl>
    <w:lvl w:ilvl="2" w:tplc="04090005" w:tentative="1">
      <w:start w:val="1"/>
      <w:numFmt w:val="bullet"/>
      <w:lvlText w:val=""/>
      <w:lvlJc w:val="left"/>
      <w:pPr>
        <w:ind w:left="1905" w:hanging="360"/>
      </w:pPr>
      <w:rPr>
        <w:rFonts w:hint="default" w:ascii="Wingdings" w:hAnsi="Wingdings"/>
      </w:rPr>
    </w:lvl>
    <w:lvl w:ilvl="3" w:tplc="04090001" w:tentative="1">
      <w:start w:val="1"/>
      <w:numFmt w:val="bullet"/>
      <w:lvlText w:val=""/>
      <w:lvlJc w:val="left"/>
      <w:pPr>
        <w:ind w:left="2625" w:hanging="360"/>
      </w:pPr>
      <w:rPr>
        <w:rFonts w:hint="default" w:ascii="Symbol" w:hAnsi="Symbol"/>
      </w:rPr>
    </w:lvl>
    <w:lvl w:ilvl="4" w:tplc="04090003" w:tentative="1">
      <w:start w:val="1"/>
      <w:numFmt w:val="bullet"/>
      <w:lvlText w:val="o"/>
      <w:lvlJc w:val="left"/>
      <w:pPr>
        <w:ind w:left="3345" w:hanging="360"/>
      </w:pPr>
      <w:rPr>
        <w:rFonts w:hint="default" w:ascii="Courier New" w:hAnsi="Courier New" w:cs="Courier New"/>
      </w:rPr>
    </w:lvl>
    <w:lvl w:ilvl="5" w:tplc="04090005" w:tentative="1">
      <w:start w:val="1"/>
      <w:numFmt w:val="bullet"/>
      <w:lvlText w:val=""/>
      <w:lvlJc w:val="left"/>
      <w:pPr>
        <w:ind w:left="4065" w:hanging="360"/>
      </w:pPr>
      <w:rPr>
        <w:rFonts w:hint="default" w:ascii="Wingdings" w:hAnsi="Wingdings"/>
      </w:rPr>
    </w:lvl>
    <w:lvl w:ilvl="6" w:tplc="04090001" w:tentative="1">
      <w:start w:val="1"/>
      <w:numFmt w:val="bullet"/>
      <w:lvlText w:val=""/>
      <w:lvlJc w:val="left"/>
      <w:pPr>
        <w:ind w:left="4785" w:hanging="360"/>
      </w:pPr>
      <w:rPr>
        <w:rFonts w:hint="default" w:ascii="Symbol" w:hAnsi="Symbol"/>
      </w:rPr>
    </w:lvl>
    <w:lvl w:ilvl="7" w:tplc="04090003" w:tentative="1">
      <w:start w:val="1"/>
      <w:numFmt w:val="bullet"/>
      <w:lvlText w:val="o"/>
      <w:lvlJc w:val="left"/>
      <w:pPr>
        <w:ind w:left="5505" w:hanging="360"/>
      </w:pPr>
      <w:rPr>
        <w:rFonts w:hint="default" w:ascii="Courier New" w:hAnsi="Courier New" w:cs="Courier New"/>
      </w:rPr>
    </w:lvl>
    <w:lvl w:ilvl="8" w:tplc="04090005" w:tentative="1">
      <w:start w:val="1"/>
      <w:numFmt w:val="bullet"/>
      <w:lvlText w:val=""/>
      <w:lvlJc w:val="left"/>
      <w:pPr>
        <w:ind w:left="6225" w:hanging="360"/>
      </w:pPr>
      <w:rPr>
        <w:rFonts w:hint="default" w:ascii="Wingdings" w:hAnsi="Wingdings"/>
      </w:rPr>
    </w:lvl>
  </w:abstractNum>
  <w:abstractNum w:abstractNumId="3" w15:restartNumberingAfterBreak="0">
    <w:nsid w:val="329C4279"/>
    <w:multiLevelType w:val="hybridMultilevel"/>
    <w:tmpl w:val="D7C8A298"/>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8" w15:restartNumberingAfterBreak="0">
    <w:nsid w:val="658908B0"/>
    <w:multiLevelType w:val="hybridMultilevel"/>
    <w:tmpl w:val="D55CDE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661634C7"/>
    <w:multiLevelType w:val="hybridMultilevel"/>
    <w:tmpl w:val="DAB848A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0" w15:restartNumberingAfterBreak="0">
    <w:nsid w:val="681419A3"/>
    <w:multiLevelType w:val="multilevel"/>
    <w:tmpl w:val="5CA0EC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6CD45689"/>
    <w:multiLevelType w:val="hybridMultilevel"/>
    <w:tmpl w:val="EA1600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6FBC5E52"/>
    <w:multiLevelType w:val="hybridMultilevel"/>
    <w:tmpl w:val="98B6ED7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75657143"/>
    <w:multiLevelType w:val="hybridMultilevel"/>
    <w:tmpl w:val="A99C669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5" w15:restartNumberingAfterBreak="0">
    <w:nsid w:val="7D2529D3"/>
    <w:multiLevelType w:val="hybridMultilevel"/>
    <w:tmpl w:val="DD7096B2"/>
    <w:lvl w:ilvl="0" w:tplc="C50E2782">
      <w:start w:val="2"/>
      <w:numFmt w:val="bullet"/>
      <w:lvlText w:val=""/>
      <w:lvlJc w:val="left"/>
      <w:pPr>
        <w:ind w:left="465" w:hanging="360"/>
      </w:pPr>
      <w:rPr>
        <w:rFonts w:hint="default" w:ascii="Symbol" w:hAnsi="Symbol"/>
      </w:rPr>
    </w:lvl>
    <w:lvl w:ilvl="1" w:tplc="FB827404">
      <w:start w:val="1"/>
      <w:numFmt w:val="bullet"/>
      <w:lvlText w:val="o"/>
      <w:lvlJc w:val="left"/>
      <w:pPr>
        <w:ind w:left="1440" w:hanging="360"/>
      </w:pPr>
      <w:rPr>
        <w:rFonts w:hint="default" w:ascii="Courier New" w:hAnsi="Courier New"/>
      </w:rPr>
    </w:lvl>
    <w:lvl w:ilvl="2" w:tplc="2110D258">
      <w:start w:val="1"/>
      <w:numFmt w:val="bullet"/>
      <w:lvlText w:val=""/>
      <w:lvlJc w:val="left"/>
      <w:pPr>
        <w:ind w:left="2160" w:hanging="360"/>
      </w:pPr>
      <w:rPr>
        <w:rFonts w:hint="default" w:ascii="Wingdings" w:hAnsi="Wingdings"/>
      </w:rPr>
    </w:lvl>
    <w:lvl w:ilvl="3" w:tplc="F4F86F50">
      <w:start w:val="1"/>
      <w:numFmt w:val="bullet"/>
      <w:lvlText w:val=""/>
      <w:lvlJc w:val="left"/>
      <w:pPr>
        <w:ind w:left="2880" w:hanging="360"/>
      </w:pPr>
      <w:rPr>
        <w:rFonts w:hint="default" w:ascii="Symbol" w:hAnsi="Symbol"/>
      </w:rPr>
    </w:lvl>
    <w:lvl w:ilvl="4" w:tplc="CB3E7DEC">
      <w:start w:val="1"/>
      <w:numFmt w:val="bullet"/>
      <w:lvlText w:val="o"/>
      <w:lvlJc w:val="left"/>
      <w:pPr>
        <w:ind w:left="3600" w:hanging="360"/>
      </w:pPr>
      <w:rPr>
        <w:rFonts w:hint="default" w:ascii="Courier New" w:hAnsi="Courier New"/>
      </w:rPr>
    </w:lvl>
    <w:lvl w:ilvl="5" w:tplc="468CC4C6">
      <w:start w:val="1"/>
      <w:numFmt w:val="bullet"/>
      <w:lvlText w:val=""/>
      <w:lvlJc w:val="left"/>
      <w:pPr>
        <w:ind w:left="4320" w:hanging="360"/>
      </w:pPr>
      <w:rPr>
        <w:rFonts w:hint="default" w:ascii="Wingdings" w:hAnsi="Wingdings"/>
      </w:rPr>
    </w:lvl>
    <w:lvl w:ilvl="6" w:tplc="9C003AD8">
      <w:start w:val="1"/>
      <w:numFmt w:val="bullet"/>
      <w:lvlText w:val=""/>
      <w:lvlJc w:val="left"/>
      <w:pPr>
        <w:ind w:left="5040" w:hanging="360"/>
      </w:pPr>
      <w:rPr>
        <w:rFonts w:hint="default" w:ascii="Symbol" w:hAnsi="Symbol"/>
      </w:rPr>
    </w:lvl>
    <w:lvl w:ilvl="7" w:tplc="E00271E4">
      <w:start w:val="1"/>
      <w:numFmt w:val="bullet"/>
      <w:lvlText w:val="o"/>
      <w:lvlJc w:val="left"/>
      <w:pPr>
        <w:ind w:left="5760" w:hanging="360"/>
      </w:pPr>
      <w:rPr>
        <w:rFonts w:hint="default" w:ascii="Courier New" w:hAnsi="Courier New"/>
      </w:rPr>
    </w:lvl>
    <w:lvl w:ilvl="8" w:tplc="C4626F60">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11"/>
  </w:num>
  <w:num w:numId="10">
    <w:abstractNumId w:val="3"/>
  </w:num>
  <w:num w:numId="11">
    <w:abstractNumId w:val="9"/>
  </w:num>
  <w:num w:numId="12">
    <w:abstractNumId w:val="14"/>
  </w:num>
  <w:num w:numId="13">
    <w:abstractNumId w:val="12"/>
  </w:num>
  <w:num w:numId="14">
    <w:abstractNumId w:val="10"/>
  </w:num>
  <w:num w:numId="15">
    <w:abstractNumId w:val="2"/>
  </w:num>
  <w:num w:numId="16">
    <w:abstractNumId w:val="15"/>
  </w:num>
  <w:num w:numId="17">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A6245"/>
    <w:rsid w:val="000B7BCF"/>
    <w:rsid w:val="000C522B"/>
    <w:rsid w:val="000C76E4"/>
    <w:rsid w:val="000D58AB"/>
    <w:rsid w:val="00112F1A"/>
    <w:rsid w:val="001159FE"/>
    <w:rsid w:val="00124F01"/>
    <w:rsid w:val="00145075"/>
    <w:rsid w:val="00151D45"/>
    <w:rsid w:val="001741A0"/>
    <w:rsid w:val="00175FA0"/>
    <w:rsid w:val="00194CD0"/>
    <w:rsid w:val="001977B9"/>
    <w:rsid w:val="001B49C9"/>
    <w:rsid w:val="001B67B9"/>
    <w:rsid w:val="001C23F4"/>
    <w:rsid w:val="001C4F79"/>
    <w:rsid w:val="001F168B"/>
    <w:rsid w:val="001F7831"/>
    <w:rsid w:val="00204045"/>
    <w:rsid w:val="0020712B"/>
    <w:rsid w:val="0022606D"/>
    <w:rsid w:val="00231728"/>
    <w:rsid w:val="00243D3C"/>
    <w:rsid w:val="00244A05"/>
    <w:rsid w:val="00250404"/>
    <w:rsid w:val="00256B74"/>
    <w:rsid w:val="002610D8"/>
    <w:rsid w:val="002747EC"/>
    <w:rsid w:val="00283825"/>
    <w:rsid w:val="002855BF"/>
    <w:rsid w:val="002B2988"/>
    <w:rsid w:val="002F0D22"/>
    <w:rsid w:val="00311B17"/>
    <w:rsid w:val="003172DC"/>
    <w:rsid w:val="00325AE3"/>
    <w:rsid w:val="00326069"/>
    <w:rsid w:val="00334C3A"/>
    <w:rsid w:val="00347319"/>
    <w:rsid w:val="0035462D"/>
    <w:rsid w:val="0036459E"/>
    <w:rsid w:val="00364B41"/>
    <w:rsid w:val="00383096"/>
    <w:rsid w:val="0039346C"/>
    <w:rsid w:val="003A41EF"/>
    <w:rsid w:val="003B40AD"/>
    <w:rsid w:val="003C4E37"/>
    <w:rsid w:val="003D33BB"/>
    <w:rsid w:val="003E16BE"/>
    <w:rsid w:val="003E641C"/>
    <w:rsid w:val="003F4E28"/>
    <w:rsid w:val="004006E8"/>
    <w:rsid w:val="00401855"/>
    <w:rsid w:val="00405D21"/>
    <w:rsid w:val="004402C3"/>
    <w:rsid w:val="00446C3A"/>
    <w:rsid w:val="00465587"/>
    <w:rsid w:val="00477455"/>
    <w:rsid w:val="004A1F7B"/>
    <w:rsid w:val="004C44D2"/>
    <w:rsid w:val="004D3578"/>
    <w:rsid w:val="004D380D"/>
    <w:rsid w:val="004D3C0C"/>
    <w:rsid w:val="004E213A"/>
    <w:rsid w:val="004F4540"/>
    <w:rsid w:val="004F73A7"/>
    <w:rsid w:val="004F7C71"/>
    <w:rsid w:val="00503171"/>
    <w:rsid w:val="00506C28"/>
    <w:rsid w:val="00534DA0"/>
    <w:rsid w:val="00537EC6"/>
    <w:rsid w:val="00543E6C"/>
    <w:rsid w:val="00545EC9"/>
    <w:rsid w:val="0056052E"/>
    <w:rsid w:val="00565087"/>
    <w:rsid w:val="0056573F"/>
    <w:rsid w:val="00571279"/>
    <w:rsid w:val="005A13AB"/>
    <w:rsid w:val="005A49C6"/>
    <w:rsid w:val="005C766E"/>
    <w:rsid w:val="005C7CD5"/>
    <w:rsid w:val="00611566"/>
    <w:rsid w:val="0063320E"/>
    <w:rsid w:val="00646D99"/>
    <w:rsid w:val="00655F96"/>
    <w:rsid w:val="00656910"/>
    <w:rsid w:val="006574C0"/>
    <w:rsid w:val="00696821"/>
    <w:rsid w:val="006C66D8"/>
    <w:rsid w:val="006D1E24"/>
    <w:rsid w:val="006D35DE"/>
    <w:rsid w:val="006E1057"/>
    <w:rsid w:val="006E1417"/>
    <w:rsid w:val="006E4268"/>
    <w:rsid w:val="006F6A2C"/>
    <w:rsid w:val="007069DC"/>
    <w:rsid w:val="00707F0E"/>
    <w:rsid w:val="00710201"/>
    <w:rsid w:val="0072073A"/>
    <w:rsid w:val="007342B5"/>
    <w:rsid w:val="00734A5B"/>
    <w:rsid w:val="00744E76"/>
    <w:rsid w:val="00757D40"/>
    <w:rsid w:val="007662B5"/>
    <w:rsid w:val="00781E80"/>
    <w:rsid w:val="00781F0F"/>
    <w:rsid w:val="0078727C"/>
    <w:rsid w:val="0079049D"/>
    <w:rsid w:val="00793DC5"/>
    <w:rsid w:val="00796823"/>
    <w:rsid w:val="007A2E55"/>
    <w:rsid w:val="007B18D8"/>
    <w:rsid w:val="007C095F"/>
    <w:rsid w:val="007C2DD0"/>
    <w:rsid w:val="007C3B92"/>
    <w:rsid w:val="007F2E08"/>
    <w:rsid w:val="008024FA"/>
    <w:rsid w:val="008028A4"/>
    <w:rsid w:val="00813245"/>
    <w:rsid w:val="00840DE0"/>
    <w:rsid w:val="00845BD8"/>
    <w:rsid w:val="00847CD0"/>
    <w:rsid w:val="008607A8"/>
    <w:rsid w:val="0086354A"/>
    <w:rsid w:val="008768CA"/>
    <w:rsid w:val="00877EF9"/>
    <w:rsid w:val="00880559"/>
    <w:rsid w:val="008B5306"/>
    <w:rsid w:val="008C2E2A"/>
    <w:rsid w:val="008C3057"/>
    <w:rsid w:val="008D2E4D"/>
    <w:rsid w:val="008D3CD4"/>
    <w:rsid w:val="008F33A2"/>
    <w:rsid w:val="008F396F"/>
    <w:rsid w:val="008F3DCD"/>
    <w:rsid w:val="0090271F"/>
    <w:rsid w:val="00902DB9"/>
    <w:rsid w:val="0090466A"/>
    <w:rsid w:val="00916B7D"/>
    <w:rsid w:val="00923655"/>
    <w:rsid w:val="00924C37"/>
    <w:rsid w:val="009339CB"/>
    <w:rsid w:val="00936071"/>
    <w:rsid w:val="009376CD"/>
    <w:rsid w:val="00940212"/>
    <w:rsid w:val="00942EC2"/>
    <w:rsid w:val="00961008"/>
    <w:rsid w:val="00961B32"/>
    <w:rsid w:val="00962509"/>
    <w:rsid w:val="00970DB3"/>
    <w:rsid w:val="00974BB0"/>
    <w:rsid w:val="00975BCD"/>
    <w:rsid w:val="009911A6"/>
    <w:rsid w:val="009928A9"/>
    <w:rsid w:val="009A0AF3"/>
    <w:rsid w:val="009B07CD"/>
    <w:rsid w:val="009B6D16"/>
    <w:rsid w:val="009C19E9"/>
    <w:rsid w:val="009D74A6"/>
    <w:rsid w:val="009E0E87"/>
    <w:rsid w:val="00A10F02"/>
    <w:rsid w:val="00A118C3"/>
    <w:rsid w:val="00A204CA"/>
    <w:rsid w:val="00A209D6"/>
    <w:rsid w:val="00A22738"/>
    <w:rsid w:val="00A36F5F"/>
    <w:rsid w:val="00A430EC"/>
    <w:rsid w:val="00A45EF4"/>
    <w:rsid w:val="00A53724"/>
    <w:rsid w:val="00A54B2B"/>
    <w:rsid w:val="00A703B6"/>
    <w:rsid w:val="00A82346"/>
    <w:rsid w:val="00A9671C"/>
    <w:rsid w:val="00AA1553"/>
    <w:rsid w:val="00AE443A"/>
    <w:rsid w:val="00AF2CDE"/>
    <w:rsid w:val="00B05380"/>
    <w:rsid w:val="00B05962"/>
    <w:rsid w:val="00B15449"/>
    <w:rsid w:val="00B164D5"/>
    <w:rsid w:val="00B16C2F"/>
    <w:rsid w:val="00B27303"/>
    <w:rsid w:val="00B47FD1"/>
    <w:rsid w:val="00B516BB"/>
    <w:rsid w:val="00B7538C"/>
    <w:rsid w:val="00B84DB2"/>
    <w:rsid w:val="00BA3CC2"/>
    <w:rsid w:val="00BA4771"/>
    <w:rsid w:val="00BC3555"/>
    <w:rsid w:val="00C12B51"/>
    <w:rsid w:val="00C24650"/>
    <w:rsid w:val="00C25465"/>
    <w:rsid w:val="00C33079"/>
    <w:rsid w:val="00C55A12"/>
    <w:rsid w:val="00C6553E"/>
    <w:rsid w:val="00C65FE3"/>
    <w:rsid w:val="00C83A13"/>
    <w:rsid w:val="00C841D6"/>
    <w:rsid w:val="00C86F10"/>
    <w:rsid w:val="00C9068C"/>
    <w:rsid w:val="00C92967"/>
    <w:rsid w:val="00C929AA"/>
    <w:rsid w:val="00CA3D0C"/>
    <w:rsid w:val="00CA654B"/>
    <w:rsid w:val="00CB72B8"/>
    <w:rsid w:val="00CD0BA8"/>
    <w:rsid w:val="00CD4C7B"/>
    <w:rsid w:val="00CD58FE"/>
    <w:rsid w:val="00CE14F8"/>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6CA0"/>
    <w:rsid w:val="00DD703E"/>
    <w:rsid w:val="00DE25D2"/>
    <w:rsid w:val="00DF7C20"/>
    <w:rsid w:val="00E00AA8"/>
    <w:rsid w:val="00E46C08"/>
    <w:rsid w:val="00E471CF"/>
    <w:rsid w:val="00E62835"/>
    <w:rsid w:val="00E77645"/>
    <w:rsid w:val="00E83697"/>
    <w:rsid w:val="00E859B6"/>
    <w:rsid w:val="00EA66C9"/>
    <w:rsid w:val="00EB5D32"/>
    <w:rsid w:val="00EB7686"/>
    <w:rsid w:val="00EC4A25"/>
    <w:rsid w:val="00EF612C"/>
    <w:rsid w:val="00F025A2"/>
    <w:rsid w:val="00F036E9"/>
    <w:rsid w:val="00F07388"/>
    <w:rsid w:val="00F2026E"/>
    <w:rsid w:val="00F2210A"/>
    <w:rsid w:val="00F31372"/>
    <w:rsid w:val="00F314E8"/>
    <w:rsid w:val="00F36DDC"/>
    <w:rsid w:val="00F37743"/>
    <w:rsid w:val="00F54A3D"/>
    <w:rsid w:val="00F54CB0"/>
    <w:rsid w:val="00F579CD"/>
    <w:rsid w:val="00F653B8"/>
    <w:rsid w:val="00F71B89"/>
    <w:rsid w:val="00F7353C"/>
    <w:rsid w:val="00F76F8F"/>
    <w:rsid w:val="00F87257"/>
    <w:rsid w:val="00F941DF"/>
    <w:rsid w:val="00FA1266"/>
    <w:rsid w:val="00FB10E1"/>
    <w:rsid w:val="00FB36FA"/>
    <w:rsid w:val="00FC1192"/>
    <w:rsid w:val="00FE106D"/>
    <w:rsid w:val="00FE251B"/>
    <w:rsid w:val="0507D42C"/>
    <w:rsid w:val="060DF988"/>
    <w:rsid w:val="0637B57F"/>
    <w:rsid w:val="1B7C8570"/>
    <w:rsid w:val="1E22ED10"/>
    <w:rsid w:val="27EE929D"/>
    <w:rsid w:val="28C8B322"/>
    <w:rsid w:val="29E7B594"/>
    <w:rsid w:val="2BCAFE34"/>
    <w:rsid w:val="2D71BACD"/>
    <w:rsid w:val="2FF9A482"/>
    <w:rsid w:val="33FF6D5A"/>
    <w:rsid w:val="36F5EFD8"/>
    <w:rsid w:val="39A8744E"/>
    <w:rsid w:val="3A9449BB"/>
    <w:rsid w:val="3D4AA4DB"/>
    <w:rsid w:val="4186B014"/>
    <w:rsid w:val="4F84AC71"/>
    <w:rsid w:val="53B20EFC"/>
    <w:rsid w:val="553AF840"/>
    <w:rsid w:val="5980A35D"/>
    <w:rsid w:val="5F040F74"/>
    <w:rsid w:val="66A20413"/>
    <w:rsid w:val="681BAF41"/>
    <w:rsid w:val="6C0C5B37"/>
    <w:rsid w:val="6C482246"/>
    <w:rsid w:val="707385FB"/>
    <w:rsid w:val="7555702F"/>
    <w:rsid w:val="7792FB66"/>
    <w:rsid w:val="7C663396"/>
    <w:rsid w:val="7FE19C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81C988-6D92-44BD-B30B-5FE2227AFF2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aliases w:val="cap,cap Char,Caption Char,Caption Char1 Char,cap Char Char1,Caption Char Char1 Char,cap Char2"/>
    <w:basedOn w:val="Normal"/>
    <w:next w:val="Normal"/>
    <w:link w:val="CaptionChar1"/>
    <w:uiPriority w:val="35"/>
    <w:qFormat/>
    <w:rsid w:val="00334C3A"/>
    <w:pPr>
      <w:overflowPunct w:val="0"/>
      <w:autoSpaceDE w:val="0"/>
      <w:autoSpaceDN w:val="0"/>
      <w:adjustRightInd w:val="0"/>
      <w:spacing w:after="240"/>
      <w:jc w:val="center"/>
      <w:textAlignment w:val="baseline"/>
    </w:pPr>
    <w:rPr>
      <w:rFonts w:ascii="Arial" w:hAnsi="Arial" w:eastAsiaTheme="minorEastAsia"/>
      <w:b/>
      <w:bCs/>
      <w:lang w:eastAsia="zh-CN"/>
    </w:rPr>
  </w:style>
  <w:style w:type="character" w:styleId="CommentReference">
    <w:name w:val="annotation reference"/>
    <w:qFormat/>
    <w:rsid w:val="00334C3A"/>
    <w:rPr>
      <w:sz w:val="16"/>
      <w:szCs w:val="16"/>
    </w:rPr>
  </w:style>
  <w:style w:type="paragraph" w:styleId="CommentText">
    <w:name w:val="annotation text"/>
    <w:basedOn w:val="Normal"/>
    <w:link w:val="CommentTextChar"/>
    <w:qFormat/>
    <w:rsid w:val="00334C3A"/>
    <w:pPr>
      <w:overflowPunct w:val="0"/>
      <w:autoSpaceDE w:val="0"/>
      <w:autoSpaceDN w:val="0"/>
      <w:adjustRightInd w:val="0"/>
      <w:spacing w:after="120"/>
      <w:jc w:val="both"/>
      <w:textAlignment w:val="baseline"/>
    </w:pPr>
    <w:rPr>
      <w:rFonts w:ascii="Arial" w:hAnsi="Arial" w:eastAsiaTheme="minorEastAsia"/>
      <w:lang w:eastAsia="zh-CN"/>
    </w:rPr>
  </w:style>
  <w:style w:type="character" w:styleId="CommentTextChar" w:customStyle="1">
    <w:name w:val="Comment Text Char"/>
    <w:basedOn w:val="DefaultParagraphFont"/>
    <w:link w:val="CommentText"/>
    <w:qFormat/>
    <w:rsid w:val="00334C3A"/>
    <w:rPr>
      <w:rFonts w:ascii="Arial" w:hAnsi="Arial" w:eastAsiaTheme="minorEastAsia"/>
      <w:lang w:eastAsia="zh-CN"/>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334C3A"/>
    <w:pPr>
      <w:overflowPunct w:val="0"/>
      <w:autoSpaceDE w:val="0"/>
      <w:autoSpaceDN w:val="0"/>
      <w:adjustRightInd w:val="0"/>
      <w:spacing w:after="120"/>
      <w:ind w:left="720"/>
      <w:contextualSpacing/>
      <w:jc w:val="both"/>
      <w:textAlignment w:val="baseline"/>
    </w:pPr>
    <w:rPr>
      <w:rFonts w:ascii="Arial" w:hAnsi="Arial" w:eastAsiaTheme="minorEastAsia"/>
      <w:lang w:eastAsia="zh-CN"/>
    </w:rPr>
  </w:style>
  <w:style w:type="character" w:styleId="ListParagraphChar" w:customStyle="1">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334C3A"/>
    <w:rPr>
      <w:rFonts w:ascii="Arial" w:hAnsi="Arial" w:eastAsiaTheme="minorEastAsia"/>
      <w:lang w:eastAsia="zh-CN"/>
    </w:rPr>
  </w:style>
  <w:style w:type="character" w:styleId="CaptionChar1" w:customStyle="1">
    <w:name w:val="Caption Char1"/>
    <w:aliases w:val="cap Char1,cap Char Char,Caption Char Char,Caption Char1 Char Char,cap Char Char1 Char,Caption Char Char1 Char Char,cap Char2 Char"/>
    <w:link w:val="Caption"/>
    <w:uiPriority w:val="35"/>
    <w:rsid w:val="00334C3A"/>
    <w:rPr>
      <w:rFonts w:ascii="Arial" w:hAnsi="Arial" w:eastAsiaTheme="minorEastAsia"/>
      <w:b/>
      <w:bCs/>
      <w:lang w:eastAsia="zh-CN"/>
    </w:rPr>
  </w:style>
  <w:style w:type="paragraph" w:styleId="maintext" w:customStyle="1">
    <w:name w:val="main text"/>
    <w:basedOn w:val="Normal"/>
    <w:link w:val="maintextChar"/>
    <w:qFormat/>
    <w:rsid w:val="00334C3A"/>
    <w:pPr>
      <w:spacing w:before="60" w:after="60" w:line="288" w:lineRule="auto"/>
      <w:ind w:firstLine="200" w:firstLineChars="200"/>
      <w:jc w:val="both"/>
    </w:pPr>
    <w:rPr>
      <w:rFonts w:ascii="KaiTi_GB2312" w:hAnsi="KaiTi_GB2312" w:eastAsia="minorBidi" w:cs="DotumChe"/>
      <w:lang w:eastAsia="ko-KR"/>
    </w:rPr>
  </w:style>
  <w:style w:type="character" w:styleId="maintextChar" w:customStyle="1">
    <w:name w:val="main text Char"/>
    <w:link w:val="maintext"/>
    <w:qFormat/>
    <w:rsid w:val="00334C3A"/>
    <w:rPr>
      <w:rFonts w:ascii="KaiTi_GB2312" w:hAnsi="KaiTi_GB2312" w:eastAsia="minorBidi" w:cs="DotumChe"/>
      <w:lang w:eastAsia="ko-KR"/>
    </w:rPr>
  </w:style>
  <w:style w:type="paragraph" w:styleId="paragraph" w:customStyle="1">
    <w:name w:val="paragraph"/>
    <w:basedOn w:val="Normal"/>
    <w:rsid w:val="00C65FE3"/>
    <w:pPr>
      <w:spacing w:before="100" w:beforeAutospacing="1" w:after="100" w:afterAutospacing="1"/>
    </w:pPr>
    <w:rPr>
      <w:sz w:val="24"/>
      <w:szCs w:val="24"/>
      <w:lang w:val="fi-FI" w:eastAsia="fi-FI"/>
    </w:rPr>
  </w:style>
  <w:style w:type="character" w:styleId="normaltextrun" w:customStyle="1">
    <w:name w:val="normaltextrun"/>
    <w:basedOn w:val="DefaultParagraphFont"/>
    <w:rsid w:val="00C65FE3"/>
  </w:style>
  <w:style w:type="character" w:styleId="eop" w:customStyle="1">
    <w:name w:val="eop"/>
    <w:basedOn w:val="DefaultParagraphFont"/>
    <w:rsid w:val="00C65FE3"/>
  </w:style>
  <w:style w:type="paragraph" w:styleId="CommentSubject">
    <w:name w:val="annotation subject"/>
    <w:basedOn w:val="CommentText"/>
    <w:next w:val="CommentText"/>
    <w:link w:val="CommentSubjectChar"/>
    <w:rsid w:val="007C3B92"/>
    <w:pPr>
      <w:overflowPunct/>
      <w:autoSpaceDE/>
      <w:autoSpaceDN/>
      <w:adjustRightInd/>
      <w:spacing w:after="180"/>
      <w:jc w:val="left"/>
      <w:textAlignment w:val="auto"/>
    </w:pPr>
    <w:rPr>
      <w:rFonts w:ascii="Times New Roman" w:hAnsi="Times New Roman" w:eastAsia="Times New Roman"/>
      <w:b/>
      <w:bCs/>
      <w:lang w:eastAsia="en-US"/>
    </w:rPr>
  </w:style>
  <w:style w:type="character" w:styleId="CommentSubjectChar" w:customStyle="1">
    <w:name w:val="Comment Subject Char"/>
    <w:basedOn w:val="CommentTextChar"/>
    <w:link w:val="CommentSubject"/>
    <w:rsid w:val="007C3B92"/>
    <w:rPr>
      <w:rFonts w:ascii="Arial" w:hAnsi="Arial" w:eastAsiaTheme="minorEastAsia"/>
      <w:b/>
      <w:bCs/>
      <w:lang w:eastAsia="en-US"/>
    </w:rPr>
  </w:style>
  <w:style w:type="paragraph" w:styleId="Agreement" w:customStyle="1">
    <w:name w:val="Agreement"/>
    <w:basedOn w:val="Normal"/>
    <w:next w:val="Normal"/>
    <w:qFormat/>
    <w:rsid w:val="00DC6CA0"/>
    <w:pPr>
      <w:numPr>
        <w:numId w:val="17"/>
      </w:numPr>
      <w:spacing w:before="60" w:after="0"/>
    </w:pPr>
    <w:rPr>
      <w:rFonts w:ascii="Arial" w:hAnsi="Arial" w:eastAsia="MS Mincho"/>
      <w:b/>
      <w:szCs w:val="24"/>
      <w:lang w:eastAsia="en-GB"/>
    </w:rPr>
  </w:style>
  <w:style w:type="paragraph" w:styleId="Normal4" w:customStyle="1">
    <w:name w:val="Normal4"/>
    <w:basedOn w:val="Normal"/>
    <w:rsid w:val="00DC6CA0"/>
    <w:pPr>
      <w:spacing w:after="0"/>
      <w:jc w:val="both"/>
    </w:pPr>
    <w:rPr>
      <w:rFonts w:ascii="Calibri" w:hAnsi="Calibri" w:cs="Calibri" w:eastAsiaTheme="minorHAnsi"/>
      <w:sz w:val="21"/>
      <w:szCs w:val="21"/>
      <w:lang w:eastAsia="en-GB"/>
    </w:rPr>
  </w:style>
  <w:style w:type="character" w:styleId="Mention">
    <w:name w:val="Mention"/>
    <w:basedOn w:val="DefaultParagraphFont"/>
    <w:uiPriority w:val="99"/>
    <w:unhideWhenUsed/>
    <w:rsid w:val="00FB10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5826">
      <w:bodyDiv w:val="1"/>
      <w:marLeft w:val="0"/>
      <w:marRight w:val="0"/>
      <w:marTop w:val="0"/>
      <w:marBottom w:val="0"/>
      <w:divBdr>
        <w:top w:val="none" w:sz="0" w:space="0" w:color="auto"/>
        <w:left w:val="none" w:sz="0" w:space="0" w:color="auto"/>
        <w:bottom w:val="none" w:sz="0" w:space="0" w:color="auto"/>
        <w:right w:val="none" w:sz="0" w:space="0" w:color="auto"/>
      </w:divBdr>
      <w:divsChild>
        <w:div w:id="347027363">
          <w:marLeft w:val="0"/>
          <w:marRight w:val="0"/>
          <w:marTop w:val="0"/>
          <w:marBottom w:val="0"/>
          <w:divBdr>
            <w:top w:val="none" w:sz="0" w:space="0" w:color="auto"/>
            <w:left w:val="none" w:sz="0" w:space="0" w:color="auto"/>
            <w:bottom w:val="none" w:sz="0" w:space="0" w:color="auto"/>
            <w:right w:val="none" w:sz="0" w:space="0" w:color="auto"/>
          </w:divBdr>
        </w:div>
        <w:div w:id="512229523">
          <w:marLeft w:val="0"/>
          <w:marRight w:val="0"/>
          <w:marTop w:val="0"/>
          <w:marBottom w:val="0"/>
          <w:divBdr>
            <w:top w:val="none" w:sz="0" w:space="0" w:color="auto"/>
            <w:left w:val="none" w:sz="0" w:space="0" w:color="auto"/>
            <w:bottom w:val="none" w:sz="0" w:space="0" w:color="auto"/>
            <w:right w:val="none" w:sz="0" w:space="0" w:color="auto"/>
          </w:divBdr>
        </w:div>
        <w:div w:id="584802782">
          <w:marLeft w:val="0"/>
          <w:marRight w:val="0"/>
          <w:marTop w:val="0"/>
          <w:marBottom w:val="0"/>
          <w:divBdr>
            <w:top w:val="none" w:sz="0" w:space="0" w:color="auto"/>
            <w:left w:val="none" w:sz="0" w:space="0" w:color="auto"/>
            <w:bottom w:val="none" w:sz="0" w:space="0" w:color="auto"/>
            <w:right w:val="none" w:sz="0" w:space="0" w:color="auto"/>
          </w:divBdr>
        </w:div>
        <w:div w:id="706371025">
          <w:marLeft w:val="0"/>
          <w:marRight w:val="0"/>
          <w:marTop w:val="0"/>
          <w:marBottom w:val="0"/>
          <w:divBdr>
            <w:top w:val="none" w:sz="0" w:space="0" w:color="auto"/>
            <w:left w:val="none" w:sz="0" w:space="0" w:color="auto"/>
            <w:bottom w:val="none" w:sz="0" w:space="0" w:color="auto"/>
            <w:right w:val="none" w:sz="0" w:space="0" w:color="auto"/>
          </w:divBdr>
        </w:div>
        <w:div w:id="938292126">
          <w:marLeft w:val="0"/>
          <w:marRight w:val="0"/>
          <w:marTop w:val="0"/>
          <w:marBottom w:val="0"/>
          <w:divBdr>
            <w:top w:val="none" w:sz="0" w:space="0" w:color="auto"/>
            <w:left w:val="none" w:sz="0" w:space="0" w:color="auto"/>
            <w:bottom w:val="none" w:sz="0" w:space="0" w:color="auto"/>
            <w:right w:val="none" w:sz="0" w:space="0" w:color="auto"/>
          </w:divBdr>
        </w:div>
        <w:div w:id="1056397604">
          <w:marLeft w:val="0"/>
          <w:marRight w:val="0"/>
          <w:marTop w:val="0"/>
          <w:marBottom w:val="0"/>
          <w:divBdr>
            <w:top w:val="none" w:sz="0" w:space="0" w:color="auto"/>
            <w:left w:val="none" w:sz="0" w:space="0" w:color="auto"/>
            <w:bottom w:val="none" w:sz="0" w:space="0" w:color="auto"/>
            <w:right w:val="none" w:sz="0" w:space="0" w:color="auto"/>
          </w:divBdr>
        </w:div>
        <w:div w:id="1261570189">
          <w:marLeft w:val="0"/>
          <w:marRight w:val="0"/>
          <w:marTop w:val="0"/>
          <w:marBottom w:val="0"/>
          <w:divBdr>
            <w:top w:val="none" w:sz="0" w:space="0" w:color="auto"/>
            <w:left w:val="none" w:sz="0" w:space="0" w:color="auto"/>
            <w:bottom w:val="none" w:sz="0" w:space="0" w:color="auto"/>
            <w:right w:val="none" w:sz="0" w:space="0" w:color="auto"/>
          </w:divBdr>
        </w:div>
        <w:div w:id="1481194579">
          <w:marLeft w:val="0"/>
          <w:marRight w:val="0"/>
          <w:marTop w:val="0"/>
          <w:marBottom w:val="0"/>
          <w:divBdr>
            <w:top w:val="none" w:sz="0" w:space="0" w:color="auto"/>
            <w:left w:val="none" w:sz="0" w:space="0" w:color="auto"/>
            <w:bottom w:val="none" w:sz="0" w:space="0" w:color="auto"/>
            <w:right w:val="none" w:sz="0" w:space="0" w:color="auto"/>
          </w:divBdr>
        </w:div>
        <w:div w:id="1675525951">
          <w:marLeft w:val="0"/>
          <w:marRight w:val="0"/>
          <w:marTop w:val="0"/>
          <w:marBottom w:val="0"/>
          <w:divBdr>
            <w:top w:val="none" w:sz="0" w:space="0" w:color="auto"/>
            <w:left w:val="none" w:sz="0" w:space="0" w:color="auto"/>
            <w:bottom w:val="none" w:sz="0" w:space="0" w:color="auto"/>
            <w:right w:val="none" w:sz="0" w:space="0" w:color="auto"/>
          </w:divBdr>
        </w:div>
      </w:divsChild>
    </w:div>
    <w:div w:id="94442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6753778">
      <w:bodyDiv w:val="1"/>
      <w:marLeft w:val="0"/>
      <w:marRight w:val="0"/>
      <w:marTop w:val="0"/>
      <w:marBottom w:val="0"/>
      <w:divBdr>
        <w:top w:val="none" w:sz="0" w:space="0" w:color="auto"/>
        <w:left w:val="none" w:sz="0" w:space="0" w:color="auto"/>
        <w:bottom w:val="none" w:sz="0" w:space="0" w:color="auto"/>
        <w:right w:val="none" w:sz="0" w:space="0" w:color="auto"/>
      </w:divBdr>
      <w:divsChild>
        <w:div w:id="66651552">
          <w:marLeft w:val="0"/>
          <w:marRight w:val="0"/>
          <w:marTop w:val="0"/>
          <w:marBottom w:val="0"/>
          <w:divBdr>
            <w:top w:val="none" w:sz="0" w:space="0" w:color="auto"/>
            <w:left w:val="none" w:sz="0" w:space="0" w:color="auto"/>
            <w:bottom w:val="none" w:sz="0" w:space="0" w:color="auto"/>
            <w:right w:val="none" w:sz="0" w:space="0" w:color="auto"/>
          </w:divBdr>
          <w:divsChild>
            <w:div w:id="518857560">
              <w:marLeft w:val="0"/>
              <w:marRight w:val="0"/>
              <w:marTop w:val="0"/>
              <w:marBottom w:val="0"/>
              <w:divBdr>
                <w:top w:val="none" w:sz="0" w:space="0" w:color="auto"/>
                <w:left w:val="none" w:sz="0" w:space="0" w:color="auto"/>
                <w:bottom w:val="none" w:sz="0" w:space="0" w:color="auto"/>
                <w:right w:val="none" w:sz="0" w:space="0" w:color="auto"/>
              </w:divBdr>
            </w:div>
            <w:div w:id="1003044839">
              <w:marLeft w:val="0"/>
              <w:marRight w:val="0"/>
              <w:marTop w:val="0"/>
              <w:marBottom w:val="0"/>
              <w:divBdr>
                <w:top w:val="none" w:sz="0" w:space="0" w:color="auto"/>
                <w:left w:val="none" w:sz="0" w:space="0" w:color="auto"/>
                <w:bottom w:val="none" w:sz="0" w:space="0" w:color="auto"/>
                <w:right w:val="none" w:sz="0" w:space="0" w:color="auto"/>
              </w:divBdr>
            </w:div>
            <w:div w:id="1065181539">
              <w:marLeft w:val="0"/>
              <w:marRight w:val="0"/>
              <w:marTop w:val="0"/>
              <w:marBottom w:val="0"/>
              <w:divBdr>
                <w:top w:val="none" w:sz="0" w:space="0" w:color="auto"/>
                <w:left w:val="none" w:sz="0" w:space="0" w:color="auto"/>
                <w:bottom w:val="none" w:sz="0" w:space="0" w:color="auto"/>
                <w:right w:val="none" w:sz="0" w:space="0" w:color="auto"/>
              </w:divBdr>
            </w:div>
          </w:divsChild>
        </w:div>
        <w:div w:id="511574415">
          <w:marLeft w:val="0"/>
          <w:marRight w:val="0"/>
          <w:marTop w:val="0"/>
          <w:marBottom w:val="0"/>
          <w:divBdr>
            <w:top w:val="none" w:sz="0" w:space="0" w:color="auto"/>
            <w:left w:val="none" w:sz="0" w:space="0" w:color="auto"/>
            <w:bottom w:val="none" w:sz="0" w:space="0" w:color="auto"/>
            <w:right w:val="none" w:sz="0" w:space="0" w:color="auto"/>
          </w:divBdr>
        </w:div>
        <w:div w:id="1667516140">
          <w:marLeft w:val="0"/>
          <w:marRight w:val="0"/>
          <w:marTop w:val="0"/>
          <w:marBottom w:val="0"/>
          <w:divBdr>
            <w:top w:val="none" w:sz="0" w:space="0" w:color="auto"/>
            <w:left w:val="none" w:sz="0" w:space="0" w:color="auto"/>
            <w:bottom w:val="none" w:sz="0" w:space="0" w:color="auto"/>
            <w:right w:val="none" w:sz="0" w:space="0" w:color="auto"/>
          </w:divBdr>
        </w:div>
      </w:divsChild>
    </w:div>
    <w:div w:id="1849055394">
      <w:bodyDiv w:val="1"/>
      <w:marLeft w:val="0"/>
      <w:marRight w:val="0"/>
      <w:marTop w:val="0"/>
      <w:marBottom w:val="0"/>
      <w:divBdr>
        <w:top w:val="none" w:sz="0" w:space="0" w:color="auto"/>
        <w:left w:val="none" w:sz="0" w:space="0" w:color="auto"/>
        <w:bottom w:val="none" w:sz="0" w:space="0" w:color="auto"/>
        <w:right w:val="none" w:sz="0" w:space="0" w:color="auto"/>
      </w:divBdr>
      <w:divsChild>
        <w:div w:id="1006980454">
          <w:marLeft w:val="0"/>
          <w:marRight w:val="0"/>
          <w:marTop w:val="0"/>
          <w:marBottom w:val="0"/>
          <w:divBdr>
            <w:top w:val="none" w:sz="0" w:space="0" w:color="auto"/>
            <w:left w:val="none" w:sz="0" w:space="0" w:color="auto"/>
            <w:bottom w:val="none" w:sz="0" w:space="0" w:color="auto"/>
            <w:right w:val="none" w:sz="0" w:space="0" w:color="auto"/>
          </w:divBdr>
          <w:divsChild>
            <w:div w:id="1126243752">
              <w:marLeft w:val="0"/>
              <w:marRight w:val="0"/>
              <w:marTop w:val="0"/>
              <w:marBottom w:val="0"/>
              <w:divBdr>
                <w:top w:val="none" w:sz="0" w:space="0" w:color="auto"/>
                <w:left w:val="none" w:sz="0" w:space="0" w:color="auto"/>
                <w:bottom w:val="none" w:sz="0" w:space="0" w:color="auto"/>
                <w:right w:val="none" w:sz="0" w:space="0" w:color="auto"/>
              </w:divBdr>
            </w:div>
            <w:div w:id="1678655904">
              <w:marLeft w:val="0"/>
              <w:marRight w:val="0"/>
              <w:marTop w:val="0"/>
              <w:marBottom w:val="0"/>
              <w:divBdr>
                <w:top w:val="none" w:sz="0" w:space="0" w:color="auto"/>
                <w:left w:val="none" w:sz="0" w:space="0" w:color="auto"/>
                <w:bottom w:val="none" w:sz="0" w:space="0" w:color="auto"/>
                <w:right w:val="none" w:sz="0" w:space="0" w:color="auto"/>
              </w:divBdr>
            </w:div>
            <w:div w:id="2088962658">
              <w:marLeft w:val="0"/>
              <w:marRight w:val="0"/>
              <w:marTop w:val="0"/>
              <w:marBottom w:val="0"/>
              <w:divBdr>
                <w:top w:val="none" w:sz="0" w:space="0" w:color="auto"/>
                <w:left w:val="none" w:sz="0" w:space="0" w:color="auto"/>
                <w:bottom w:val="none" w:sz="0" w:space="0" w:color="auto"/>
                <w:right w:val="none" w:sz="0" w:space="0" w:color="auto"/>
              </w:divBdr>
            </w:div>
          </w:divsChild>
        </w:div>
        <w:div w:id="1446459034">
          <w:marLeft w:val="0"/>
          <w:marRight w:val="0"/>
          <w:marTop w:val="0"/>
          <w:marBottom w:val="0"/>
          <w:divBdr>
            <w:top w:val="none" w:sz="0" w:space="0" w:color="auto"/>
            <w:left w:val="none" w:sz="0" w:space="0" w:color="auto"/>
            <w:bottom w:val="none" w:sz="0" w:space="0" w:color="auto"/>
            <w:right w:val="none" w:sz="0" w:space="0" w:color="auto"/>
          </w:divBdr>
        </w:div>
        <w:div w:id="169850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3gpp.org/ftp/tsg_ran/TSG_RAN/TSGR_96/Docs/RP-221815.zip"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5AIRPNAIUNRU-859666464-12514</_dlc_DocId>
    <_dlc_DocIdUrl xmlns="71c5aaf6-e6ce-465b-b873-5148d2a4c105">
      <Url>https://nokia.sharepoint.com/sites/c5g/e2earch/_layouts/15/DocIdRedir.aspx?ID=5AIRPNAIUNRU-859666464-12514</Url>
      <Description>5AIRPNAIUNRU-859666464-12514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5C4AE6B3-572A-46BB-B0A9-2F79616A4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861</Words>
  <Characters>4854</Characters>
  <Application>Microsoft Office Word</Application>
  <DocSecurity>0</DocSecurity>
  <Lines>156</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5643</CharactersWithSpaces>
  <SharedDoc>false</SharedDoc>
  <HyperlinkBase/>
  <HLinks>
    <vt:vector size="12" baseType="variant">
      <vt:variant>
        <vt:i4>2162775</vt:i4>
      </vt:variant>
      <vt:variant>
        <vt:i4>0</vt:i4>
      </vt:variant>
      <vt:variant>
        <vt:i4>0</vt:i4>
      </vt:variant>
      <vt:variant>
        <vt:i4>5</vt:i4>
      </vt:variant>
      <vt:variant>
        <vt:lpwstr>http://3gpp.org/ftp/tsg_ran/TSG_RAN/TSGR_96/Docs/RP-221815.zip</vt:lpwstr>
      </vt:variant>
      <vt:variant>
        <vt:lpwstr/>
      </vt:variant>
      <vt:variant>
        <vt:i4>2424920</vt:i4>
      </vt:variant>
      <vt:variant>
        <vt:i4>0</vt:i4>
      </vt:variant>
      <vt:variant>
        <vt:i4>0</vt:i4>
      </vt:variant>
      <vt:variant>
        <vt:i4>5</vt:i4>
      </vt:variant>
      <vt:variant>
        <vt:lpwstr>mailto:ilkka.keskitalo@nokia-bell-labs.com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13</cp:revision>
  <dcterms:created xsi:type="dcterms:W3CDTF">2022-09-22T13:19:00Z</dcterms:created>
  <dcterms:modified xsi:type="dcterms:W3CDTF">2022-09-30T07:51:00Z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2ad337d7-86ea-4877-a3c0-e2f990ae54a4</vt:lpwstr>
  </property>
</Properties>
</file>